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3" w:rsidRDefault="00C83003" w:rsidP="00C83003">
      <w:pPr>
        <w:pStyle w:val="Default"/>
      </w:pPr>
    </w:p>
    <w:p w:rsidR="00C83003" w:rsidRDefault="00C83003" w:rsidP="00C83003">
      <w:pPr>
        <w:pStyle w:val="Default"/>
        <w:jc w:val="center"/>
        <w:rPr>
          <w:sz w:val="32"/>
          <w:szCs w:val="32"/>
        </w:rPr>
      </w:pPr>
      <w:r>
        <w:t xml:space="preserve"> </w:t>
      </w:r>
      <w:r w:rsidR="00B57C70">
        <w:rPr>
          <w:color w:val="C00000"/>
          <w:sz w:val="32"/>
          <w:szCs w:val="32"/>
        </w:rPr>
        <w:t xml:space="preserve">Gloseøvelse til kapitel </w:t>
      </w:r>
      <w:proofErr w:type="gramStart"/>
      <w:r w:rsidR="00B57C70">
        <w:rPr>
          <w:color w:val="C00000"/>
          <w:sz w:val="32"/>
          <w:szCs w:val="32"/>
        </w:rPr>
        <w:t>XXI  -</w:t>
      </w:r>
      <w:proofErr w:type="gramEnd"/>
      <w:r w:rsidR="00B57C70">
        <w:rPr>
          <w:color w:val="C00000"/>
          <w:sz w:val="32"/>
          <w:szCs w:val="32"/>
        </w:rPr>
        <w:t xml:space="preserve"> Le Petit Prince</w:t>
      </w:r>
      <w:r>
        <w:rPr>
          <w:sz w:val="32"/>
          <w:szCs w:val="32"/>
        </w:rPr>
        <w:t xml:space="preserve"> </w:t>
      </w:r>
    </w:p>
    <w:p w:rsidR="00B8796C" w:rsidRDefault="00B8796C" w:rsidP="00C83003">
      <w:pPr>
        <w:pStyle w:val="Default"/>
        <w:jc w:val="center"/>
        <w:rPr>
          <w:sz w:val="32"/>
          <w:szCs w:val="32"/>
        </w:rPr>
      </w:pPr>
    </w:p>
    <w:p w:rsidR="00B57C70" w:rsidRDefault="00C83003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 xml:space="preserve">Klip nedenstående tabel ud. </w:t>
      </w:r>
    </w:p>
    <w:p w:rsidR="00B8796C" w:rsidRPr="00B8796C" w:rsidRDefault="00C83003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 xml:space="preserve">Klip igennem på midten, så du har 2 gange 2 kolonner. </w:t>
      </w:r>
    </w:p>
    <w:p w:rsidR="00B8796C" w:rsidRPr="00B8796C" w:rsidRDefault="00C83003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 xml:space="preserve">Fold hver kolonne sammen på midten, og lim sammen. </w:t>
      </w:r>
    </w:p>
    <w:p w:rsidR="00B8796C" w:rsidRPr="00B8796C" w:rsidRDefault="00B8796C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>K</w:t>
      </w:r>
      <w:r w:rsidR="00C83003" w:rsidRPr="00B8796C">
        <w:rPr>
          <w:sz w:val="20"/>
          <w:szCs w:val="20"/>
        </w:rPr>
        <w:t xml:space="preserve">lip ud, så du har kort med den franske glose med fede typer på den ene side og den danske glose i kursiv på den anden side. </w:t>
      </w:r>
    </w:p>
    <w:p w:rsidR="00B8796C" w:rsidRPr="00B8796C" w:rsidRDefault="00C83003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 xml:space="preserve">Eleverne hører hinanden i gloserne. </w:t>
      </w:r>
    </w:p>
    <w:p w:rsidR="00FE4CF6" w:rsidRPr="00B8796C" w:rsidRDefault="00C83003" w:rsidP="00B8796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8796C">
        <w:rPr>
          <w:sz w:val="20"/>
          <w:szCs w:val="20"/>
        </w:rPr>
        <w:t>Hvis man kan glosen, vinder man kortet.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3"/>
      </w:tblGrid>
      <w:tr w:rsidR="00CE2DC6" w:rsidTr="00A30C7E"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CE2DC6">
              <w:rPr>
                <w:b/>
                <w:color w:val="C00000"/>
                <w:sz w:val="32"/>
                <w:szCs w:val="32"/>
              </w:rPr>
              <w:t>renard</w:t>
            </w:r>
            <w:proofErr w:type="spellEnd"/>
            <w:proofErr w:type="gramEnd"/>
            <w:r w:rsidRPr="00CE2DC6"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CE2DC6">
              <w:rPr>
                <w:i/>
                <w:color w:val="002060"/>
                <w:sz w:val="32"/>
                <w:szCs w:val="32"/>
              </w:rPr>
              <w:t>ræv</w:t>
            </w:r>
            <w:proofErr w:type="gramEnd"/>
          </w:p>
        </w:tc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CE2DC6">
              <w:rPr>
                <w:b/>
                <w:color w:val="C00000"/>
                <w:sz w:val="32"/>
                <w:szCs w:val="32"/>
              </w:rPr>
              <w:t>apparaître</w:t>
            </w:r>
            <w:proofErr w:type="spellEnd"/>
            <w:proofErr w:type="gramEnd"/>
          </w:p>
        </w:tc>
        <w:tc>
          <w:tcPr>
            <w:tcW w:w="2413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CE2DC6">
              <w:rPr>
                <w:i/>
                <w:color w:val="002060"/>
                <w:sz w:val="32"/>
                <w:szCs w:val="32"/>
              </w:rPr>
              <w:t>vise</w:t>
            </w:r>
            <w:proofErr w:type="gramEnd"/>
            <w:r w:rsidRPr="00CE2DC6">
              <w:rPr>
                <w:i/>
                <w:color w:val="002060"/>
                <w:sz w:val="32"/>
                <w:szCs w:val="32"/>
              </w:rPr>
              <w:t xml:space="preserve"> sig</w:t>
            </w:r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CE2DC6">
              <w:rPr>
                <w:b/>
                <w:color w:val="C00000"/>
                <w:sz w:val="32"/>
                <w:szCs w:val="32"/>
              </w:rPr>
              <w:t>joli</w:t>
            </w:r>
            <w:proofErr w:type="spellEnd"/>
            <w:proofErr w:type="gramEnd"/>
            <w:r w:rsidRPr="00CE2DC6"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CE2DC6"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 w:rsidRPr="00CE2DC6"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CE2DC6">
              <w:rPr>
                <w:i/>
                <w:color w:val="002060"/>
                <w:sz w:val="32"/>
                <w:szCs w:val="32"/>
              </w:rPr>
              <w:t>smuk</w:t>
            </w:r>
            <w:proofErr w:type="gramEnd"/>
          </w:p>
        </w:tc>
        <w:tc>
          <w:tcPr>
            <w:tcW w:w="2407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CE2DC6">
              <w:rPr>
                <w:b/>
                <w:color w:val="C00000"/>
                <w:sz w:val="32"/>
                <w:szCs w:val="32"/>
              </w:rPr>
              <w:t>jouer</w:t>
            </w:r>
            <w:proofErr w:type="spellEnd"/>
            <w:proofErr w:type="gramEnd"/>
          </w:p>
        </w:tc>
        <w:tc>
          <w:tcPr>
            <w:tcW w:w="2413" w:type="dxa"/>
          </w:tcPr>
          <w:p w:rsidR="00CE2DC6" w:rsidRPr="00CE2DC6" w:rsidRDefault="00CE2DC6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CE2DC6">
              <w:rPr>
                <w:i/>
                <w:color w:val="002060"/>
                <w:sz w:val="32"/>
                <w:szCs w:val="32"/>
              </w:rPr>
              <w:t>lege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apprivoiser</w:t>
            </w:r>
            <w:proofErr w:type="spellEnd"/>
            <w:proofErr w:type="gramEnd"/>
          </w:p>
        </w:tc>
        <w:tc>
          <w:tcPr>
            <w:tcW w:w="2407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tæmme</w:t>
            </w:r>
            <w:proofErr w:type="gramEnd"/>
          </w:p>
        </w:tc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signifier</w:t>
            </w:r>
            <w:proofErr w:type="spellEnd"/>
            <w:proofErr w:type="gramEnd"/>
          </w:p>
        </w:tc>
        <w:tc>
          <w:tcPr>
            <w:tcW w:w="2413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betyde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poule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f.</w:t>
            </w:r>
          </w:p>
        </w:tc>
        <w:tc>
          <w:tcPr>
            <w:tcW w:w="2407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høne</w:t>
            </w:r>
            <w:proofErr w:type="gramEnd"/>
          </w:p>
        </w:tc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créer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des liens</w:t>
            </w:r>
          </w:p>
        </w:tc>
        <w:tc>
          <w:tcPr>
            <w:tcW w:w="2413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knytte</w:t>
            </w:r>
            <w:proofErr w:type="gramEnd"/>
            <w:r w:rsidRPr="00B8796C">
              <w:rPr>
                <w:i/>
                <w:color w:val="002060"/>
                <w:sz w:val="32"/>
                <w:szCs w:val="32"/>
              </w:rPr>
              <w:t xml:space="preserve"> bånd</w:t>
            </w:r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avoir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besoin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 xml:space="preserve"> de</w:t>
            </w:r>
          </w:p>
        </w:tc>
        <w:tc>
          <w:tcPr>
            <w:tcW w:w="2407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have</w:t>
            </w:r>
            <w:proofErr w:type="gramEnd"/>
            <w:r w:rsidRPr="00B8796C">
              <w:rPr>
                <w:i/>
                <w:color w:val="002060"/>
                <w:sz w:val="32"/>
                <w:szCs w:val="32"/>
              </w:rPr>
              <w:t xml:space="preserve"> brug for</w:t>
            </w:r>
          </w:p>
        </w:tc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unique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enestående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chasser</w:t>
            </w:r>
            <w:proofErr w:type="gramEnd"/>
          </w:p>
        </w:tc>
        <w:tc>
          <w:tcPr>
            <w:tcW w:w="2407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jage</w:t>
            </w:r>
            <w:proofErr w:type="gramEnd"/>
          </w:p>
        </w:tc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champ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mark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patient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CE2DC6" w:rsidRPr="00B8796C" w:rsidRDefault="00B8796C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8796C">
              <w:rPr>
                <w:i/>
                <w:color w:val="002060"/>
                <w:sz w:val="32"/>
                <w:szCs w:val="32"/>
              </w:rPr>
              <w:t>tålmodig</w:t>
            </w:r>
            <w:proofErr w:type="gramEnd"/>
          </w:p>
        </w:tc>
        <w:tc>
          <w:tcPr>
            <w:tcW w:w="2407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s’asseoir</w:t>
            </w:r>
            <w:proofErr w:type="spellEnd"/>
            <w:proofErr w:type="gramEnd"/>
          </w:p>
        </w:tc>
        <w:tc>
          <w:tcPr>
            <w:tcW w:w="2413" w:type="dxa"/>
          </w:tcPr>
          <w:p w:rsidR="00CE2DC6" w:rsidRPr="00CE2DC6" w:rsidRDefault="00B8796C" w:rsidP="00CE2DC6">
            <w:pPr>
              <w:spacing w:before="240" w:line="720" w:lineRule="auto"/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sætte</w:t>
            </w:r>
            <w:proofErr w:type="gramEnd"/>
            <w:r>
              <w:rPr>
                <w:b/>
                <w:color w:val="002060"/>
                <w:sz w:val="32"/>
                <w:szCs w:val="32"/>
              </w:rPr>
              <w:t xml:space="preserve"> sig</w:t>
            </w:r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lastRenderedPageBreak/>
              <w:t>rite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</w:t>
            </w:r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ritual</w:t>
            </w:r>
            <w:proofErr w:type="gramEnd"/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chasseur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jæger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blé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korn</w:t>
            </w:r>
            <w:proofErr w:type="gramEnd"/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semblable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magen</w:t>
            </w:r>
            <w:proofErr w:type="gramEnd"/>
            <w:r w:rsidRPr="0017463D">
              <w:rPr>
                <w:i/>
                <w:color w:val="002060"/>
                <w:sz w:val="32"/>
                <w:szCs w:val="32"/>
              </w:rPr>
              <w:t xml:space="preserve"> til</w:t>
            </w:r>
          </w:p>
        </w:tc>
        <w:bookmarkStart w:id="0" w:name="_GoBack"/>
        <w:bookmarkEnd w:id="0"/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vide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tom</w:t>
            </w:r>
            <w:proofErr w:type="gramEnd"/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secret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hemmelighed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ne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>……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que</w:t>
            </w:r>
            <w:proofErr w:type="spellEnd"/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kun</w:t>
            </w:r>
            <w:proofErr w:type="gramEnd"/>
          </w:p>
        </w:tc>
        <w:tc>
          <w:tcPr>
            <w:tcW w:w="2407" w:type="dxa"/>
          </w:tcPr>
          <w:p w:rsidR="00CE2DC6" w:rsidRPr="00CE2DC6" w:rsidRDefault="00B57C70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l’</w:t>
            </w:r>
            <w:r w:rsidR="0017463D">
              <w:rPr>
                <w:b/>
                <w:color w:val="C00000"/>
                <w:sz w:val="32"/>
                <w:szCs w:val="32"/>
              </w:rPr>
              <w:t>essentiel</w:t>
            </w:r>
            <w:proofErr w:type="spellEnd"/>
            <w:proofErr w:type="gramEnd"/>
            <w:r w:rsidR="0017463D"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det</w:t>
            </w:r>
            <w:proofErr w:type="gramEnd"/>
            <w:r>
              <w:rPr>
                <w:b/>
                <w:color w:val="002060"/>
                <w:sz w:val="32"/>
                <w:szCs w:val="32"/>
              </w:rPr>
              <w:t xml:space="preserve"> væsentligste</w:t>
            </w:r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invisible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usynlig</w:t>
            </w:r>
            <w:proofErr w:type="gramEnd"/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responsable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adj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ansvarlig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vérité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f.</w:t>
            </w:r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sandhed</w:t>
            </w:r>
            <w:proofErr w:type="gramEnd"/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cæur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hjerte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écouter</w:t>
            </w:r>
            <w:proofErr w:type="spellEnd"/>
            <w:proofErr w:type="gramEnd"/>
          </w:p>
        </w:tc>
        <w:tc>
          <w:tcPr>
            <w:tcW w:w="2407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lytte</w:t>
            </w:r>
            <w:proofErr w:type="gramEnd"/>
            <w:r w:rsidRPr="0017463D">
              <w:rPr>
                <w:i/>
                <w:color w:val="002060"/>
                <w:sz w:val="32"/>
                <w:szCs w:val="32"/>
              </w:rPr>
              <w:t xml:space="preserve"> til</w:t>
            </w:r>
          </w:p>
        </w:tc>
        <w:tc>
          <w:tcPr>
            <w:tcW w:w="2407" w:type="dxa"/>
          </w:tcPr>
          <w:p w:rsidR="00CE2DC6" w:rsidRPr="00CE2DC6" w:rsidRDefault="0017463D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cadeau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m.</w:t>
            </w:r>
          </w:p>
        </w:tc>
        <w:tc>
          <w:tcPr>
            <w:tcW w:w="2413" w:type="dxa"/>
          </w:tcPr>
          <w:p w:rsidR="00CE2DC6" w:rsidRPr="0017463D" w:rsidRDefault="0017463D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17463D">
              <w:rPr>
                <w:i/>
                <w:color w:val="002060"/>
                <w:sz w:val="32"/>
                <w:szCs w:val="32"/>
              </w:rPr>
              <w:t>gave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B57C70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comprendre</w:t>
            </w:r>
            <w:proofErr w:type="spellEnd"/>
            <w:proofErr w:type="gramEnd"/>
          </w:p>
        </w:tc>
        <w:tc>
          <w:tcPr>
            <w:tcW w:w="2407" w:type="dxa"/>
          </w:tcPr>
          <w:p w:rsidR="00CE2DC6" w:rsidRPr="00B57C70" w:rsidRDefault="00B57C70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57C70">
              <w:rPr>
                <w:i/>
                <w:color w:val="002060"/>
                <w:sz w:val="32"/>
                <w:szCs w:val="32"/>
              </w:rPr>
              <w:t>forstå</w:t>
            </w:r>
            <w:proofErr w:type="gramEnd"/>
          </w:p>
        </w:tc>
        <w:tc>
          <w:tcPr>
            <w:tcW w:w="2407" w:type="dxa"/>
          </w:tcPr>
          <w:p w:rsidR="00CE2DC6" w:rsidRPr="00CE2DC6" w:rsidRDefault="00B57C70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pleurer</w:t>
            </w:r>
            <w:proofErr w:type="spellEnd"/>
            <w:proofErr w:type="gramEnd"/>
          </w:p>
        </w:tc>
        <w:tc>
          <w:tcPr>
            <w:tcW w:w="2413" w:type="dxa"/>
          </w:tcPr>
          <w:p w:rsidR="00CE2DC6" w:rsidRPr="00B57C70" w:rsidRDefault="00B57C70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B57C70">
              <w:rPr>
                <w:i/>
                <w:color w:val="002060"/>
                <w:sz w:val="32"/>
                <w:szCs w:val="32"/>
              </w:rPr>
              <w:t>græde</w:t>
            </w:r>
            <w:proofErr w:type="gramEnd"/>
          </w:p>
        </w:tc>
      </w:tr>
      <w:tr w:rsidR="00CE2DC6" w:rsidRPr="00CE2DC6" w:rsidTr="00A30C7E">
        <w:tc>
          <w:tcPr>
            <w:tcW w:w="2407" w:type="dxa"/>
          </w:tcPr>
          <w:p w:rsidR="00CE2DC6" w:rsidRPr="00CE2DC6" w:rsidRDefault="00A30C7E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la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Terre</w:t>
            </w:r>
          </w:p>
        </w:tc>
        <w:tc>
          <w:tcPr>
            <w:tcW w:w="2407" w:type="dxa"/>
          </w:tcPr>
          <w:p w:rsidR="00CE2DC6" w:rsidRPr="00A30C7E" w:rsidRDefault="00A30C7E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A30C7E">
              <w:rPr>
                <w:i/>
                <w:color w:val="002060"/>
                <w:sz w:val="32"/>
                <w:szCs w:val="32"/>
              </w:rPr>
              <w:t>jorden</w:t>
            </w:r>
            <w:proofErr w:type="gramEnd"/>
          </w:p>
        </w:tc>
        <w:tc>
          <w:tcPr>
            <w:tcW w:w="2407" w:type="dxa"/>
          </w:tcPr>
          <w:p w:rsidR="00CE2DC6" w:rsidRPr="00CE2DC6" w:rsidRDefault="00A30C7E" w:rsidP="00CE2DC6">
            <w:pPr>
              <w:spacing w:before="240" w:line="72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C00000"/>
                <w:sz w:val="32"/>
                <w:szCs w:val="32"/>
              </w:rPr>
              <w:t>semblable</w:t>
            </w:r>
            <w:proofErr w:type="spellEnd"/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à</w:t>
            </w:r>
          </w:p>
        </w:tc>
        <w:tc>
          <w:tcPr>
            <w:tcW w:w="2413" w:type="dxa"/>
          </w:tcPr>
          <w:p w:rsidR="00CE2DC6" w:rsidRPr="00A30C7E" w:rsidRDefault="00A30C7E" w:rsidP="00CE2DC6">
            <w:pPr>
              <w:spacing w:before="240" w:line="720" w:lineRule="auto"/>
              <w:jc w:val="center"/>
              <w:rPr>
                <w:i/>
                <w:color w:val="002060"/>
                <w:sz w:val="32"/>
                <w:szCs w:val="32"/>
              </w:rPr>
            </w:pPr>
            <w:proofErr w:type="gramStart"/>
            <w:r w:rsidRPr="00A30C7E">
              <w:rPr>
                <w:i/>
                <w:color w:val="002060"/>
                <w:sz w:val="32"/>
                <w:szCs w:val="32"/>
              </w:rPr>
              <w:t>magen</w:t>
            </w:r>
            <w:proofErr w:type="gramEnd"/>
            <w:r w:rsidRPr="00A30C7E">
              <w:rPr>
                <w:i/>
                <w:color w:val="002060"/>
                <w:sz w:val="32"/>
                <w:szCs w:val="32"/>
              </w:rPr>
              <w:t xml:space="preserve"> til</w:t>
            </w:r>
          </w:p>
        </w:tc>
      </w:tr>
    </w:tbl>
    <w:p w:rsidR="00CE2DC6" w:rsidRPr="00CE2DC6" w:rsidRDefault="00CE2DC6" w:rsidP="00CE2DC6">
      <w:pPr>
        <w:jc w:val="center"/>
        <w:rPr>
          <w:b/>
          <w:sz w:val="32"/>
          <w:szCs w:val="32"/>
        </w:rPr>
      </w:pPr>
    </w:p>
    <w:p w:rsidR="00C83003" w:rsidRPr="00CE2DC6" w:rsidRDefault="00C83003" w:rsidP="00CE2DC6">
      <w:pPr>
        <w:jc w:val="center"/>
        <w:rPr>
          <w:b/>
          <w:sz w:val="32"/>
          <w:szCs w:val="32"/>
        </w:rPr>
      </w:pPr>
    </w:p>
    <w:p w:rsidR="00CE2DC6" w:rsidRPr="00CE2DC6" w:rsidRDefault="00CE2DC6">
      <w:pPr>
        <w:jc w:val="center"/>
        <w:rPr>
          <w:b/>
          <w:sz w:val="32"/>
          <w:szCs w:val="32"/>
        </w:rPr>
      </w:pPr>
    </w:p>
    <w:sectPr w:rsidR="00CE2DC6" w:rsidRPr="00CE2D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5BA"/>
    <w:multiLevelType w:val="hybridMultilevel"/>
    <w:tmpl w:val="574A0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3"/>
    <w:rsid w:val="0017463D"/>
    <w:rsid w:val="00A30C7E"/>
    <w:rsid w:val="00B57C70"/>
    <w:rsid w:val="00B8796C"/>
    <w:rsid w:val="00C83003"/>
    <w:rsid w:val="00CE2DC6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5188-84FD-4518-90E0-23CA331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8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CE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8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3</cp:revision>
  <dcterms:created xsi:type="dcterms:W3CDTF">2016-01-04T11:13:00Z</dcterms:created>
  <dcterms:modified xsi:type="dcterms:W3CDTF">2016-01-04T11:51:00Z</dcterms:modified>
</cp:coreProperties>
</file>